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EF1601">
        <w:rPr>
          <w:b/>
          <w:sz w:val="24"/>
          <w:szCs w:val="24"/>
        </w:rPr>
        <w:t>June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9A417F" w:rsidRDefault="003E2068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usual southern Maryland early summer heat and humidity stayed away once again which meant great shooting conditions for the six competitors who made it to the June</w:t>
      </w:r>
      <w:r w:rsidR="00174435">
        <w:rPr>
          <w:sz w:val="24"/>
          <w:szCs w:val="24"/>
        </w:rPr>
        <w:t xml:space="preserve"> Woodstock </w:t>
      </w:r>
      <w:r w:rsidR="00E23EE4">
        <w:rPr>
          <w:sz w:val="24"/>
          <w:szCs w:val="24"/>
        </w:rPr>
        <w:t>match at Sanner’s Lake</w:t>
      </w:r>
      <w:r>
        <w:rPr>
          <w:sz w:val="24"/>
          <w:szCs w:val="24"/>
        </w:rPr>
        <w:t xml:space="preserve">.  </w:t>
      </w:r>
      <w:r w:rsidR="00F90134">
        <w:rPr>
          <w:sz w:val="24"/>
          <w:szCs w:val="24"/>
        </w:rPr>
        <w:t xml:space="preserve">And once again, the scores were tight in the race for the top spots, with just </w:t>
      </w:r>
      <w:r w:rsidR="0029100B">
        <w:rPr>
          <w:sz w:val="24"/>
          <w:szCs w:val="24"/>
        </w:rPr>
        <w:t>five</w:t>
      </w:r>
      <w:r w:rsidR="00F90134">
        <w:rPr>
          <w:sz w:val="24"/>
          <w:szCs w:val="24"/>
        </w:rPr>
        <w:t xml:space="preserve"> points separating the top three </w:t>
      </w:r>
      <w:r w:rsidR="0005101B">
        <w:rPr>
          <w:sz w:val="24"/>
          <w:szCs w:val="24"/>
        </w:rPr>
        <w:t>finishers</w:t>
      </w:r>
      <w:r w:rsidR="00F90134">
        <w:rPr>
          <w:sz w:val="24"/>
          <w:szCs w:val="24"/>
        </w:rPr>
        <w:t xml:space="preserve"> in the combined score category</w:t>
      </w:r>
      <w:r w:rsidR="0029100B">
        <w:rPr>
          <w:sz w:val="24"/>
          <w:szCs w:val="24"/>
        </w:rPr>
        <w:t xml:space="preserve">.  Likewise, just </w:t>
      </w:r>
      <w:r w:rsidR="00F90134">
        <w:rPr>
          <w:sz w:val="24"/>
          <w:szCs w:val="24"/>
        </w:rPr>
        <w:t xml:space="preserve">five points </w:t>
      </w:r>
      <w:r w:rsidR="0029100B">
        <w:rPr>
          <w:sz w:val="24"/>
          <w:szCs w:val="24"/>
        </w:rPr>
        <w:t>separated</w:t>
      </w:r>
      <w:r w:rsidR="00F90134">
        <w:rPr>
          <w:sz w:val="24"/>
          <w:szCs w:val="24"/>
        </w:rPr>
        <w:t xml:space="preserve"> the top s</w:t>
      </w:r>
      <w:r w:rsidR="0005101B">
        <w:rPr>
          <w:sz w:val="24"/>
          <w:szCs w:val="24"/>
        </w:rPr>
        <w:t>ix scores in the individual catego</w:t>
      </w:r>
      <w:r w:rsidR="00F90134">
        <w:rPr>
          <w:sz w:val="24"/>
          <w:szCs w:val="24"/>
        </w:rPr>
        <w:t xml:space="preserve">ry.  See all the </w:t>
      </w:r>
      <w:r w:rsidR="007679BE">
        <w:rPr>
          <w:sz w:val="24"/>
          <w:szCs w:val="24"/>
        </w:rPr>
        <w:t xml:space="preserve">scores and details below.  </w:t>
      </w:r>
      <w:r w:rsidR="00F847BE">
        <w:rPr>
          <w:sz w:val="24"/>
          <w:szCs w:val="24"/>
        </w:rPr>
        <w:t>The next Woodstock match is on</w:t>
      </w:r>
      <w:r w:rsidR="008448E0">
        <w:rPr>
          <w:sz w:val="24"/>
          <w:szCs w:val="24"/>
        </w:rPr>
        <w:t xml:space="preserve"> </w:t>
      </w:r>
      <w:r w:rsidR="0005101B">
        <w:rPr>
          <w:sz w:val="24"/>
          <w:szCs w:val="24"/>
        </w:rPr>
        <w:t>July 20</w:t>
      </w:r>
      <w:r w:rsidR="007679BE" w:rsidRPr="007679BE">
        <w:rPr>
          <w:sz w:val="24"/>
          <w:szCs w:val="24"/>
          <w:vertAlign w:val="superscript"/>
        </w:rPr>
        <w:t>th</w:t>
      </w:r>
      <w:r w:rsidR="00B5051B">
        <w:rPr>
          <w:sz w:val="24"/>
          <w:szCs w:val="24"/>
        </w:rPr>
        <w:t>, see you there!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05101B" w:rsidRDefault="0005101B" w:rsidP="007F6906">
      <w:pPr>
        <w:pStyle w:val="NoSpacing"/>
        <w:rPr>
          <w:b/>
          <w:sz w:val="24"/>
          <w:szCs w:val="24"/>
        </w:rPr>
      </w:pP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29100B" w:rsidRPr="00533692" w:rsidRDefault="0029100B" w:rsidP="007F6906">
      <w:pPr>
        <w:pStyle w:val="NoSpacing"/>
        <w:rPr>
          <w:i/>
          <w:sz w:val="20"/>
          <w:szCs w:val="20"/>
        </w:rPr>
      </w:pPr>
      <w:bookmarkStart w:id="0" w:name="_GoBack"/>
      <w:bookmarkEnd w:id="0"/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1862"/>
        <w:gridCol w:w="2967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84268C" w:rsidRPr="00A907BF" w:rsidTr="005A09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862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67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312E6B" w:rsidRPr="00A907BF" w:rsidTr="005A091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967" w:type="dxa"/>
            <w:vAlign w:val="bottom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E6B" w:rsidRPr="00A907BF" w:rsidTr="00B0632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967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3</w:t>
            </w:r>
          </w:p>
        </w:tc>
      </w:tr>
      <w:tr w:rsidR="00312E6B" w:rsidRPr="00A907BF" w:rsidTr="00B0632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967" w:type="dxa"/>
            <w:vAlign w:val="bottom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5A091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Pat Patton</w:t>
            </w:r>
          </w:p>
        </w:tc>
        <w:tc>
          <w:tcPr>
            <w:tcW w:w="2967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5A091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2967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K31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5A0913">
        <w:trPr>
          <w:jc w:val="center"/>
        </w:trPr>
        <w:tc>
          <w:tcPr>
            <w:tcW w:w="9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2967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 xml:space="preserve">Lee-Enfield No. 4 Mk 2 </w:t>
            </w:r>
          </w:p>
        </w:tc>
        <w:tc>
          <w:tcPr>
            <w:tcW w:w="922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4268C" w:rsidRDefault="0084268C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EF1601" w:rsidRDefault="00EF1601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F90134" w:rsidRDefault="00F90134" w:rsidP="007F6906">
      <w:pPr>
        <w:pStyle w:val="NoSpacing"/>
        <w:rPr>
          <w:b/>
          <w:sz w:val="24"/>
          <w:szCs w:val="24"/>
        </w:rPr>
      </w:pPr>
    </w:p>
    <w:p w:rsidR="007F6906" w:rsidRDefault="007F6906" w:rsidP="007F6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312E6B" w:rsidRPr="00533692" w:rsidRDefault="00312E6B" w:rsidP="007F6906">
      <w:pPr>
        <w:pStyle w:val="NoSpacing"/>
        <w:rPr>
          <w:i/>
          <w:sz w:val="20"/>
          <w:szCs w:val="20"/>
        </w:rPr>
      </w:pPr>
    </w:p>
    <w:p w:rsidR="00E32057" w:rsidRPr="00F37822" w:rsidRDefault="00E32057" w:rsidP="00F37822">
      <w:pPr>
        <w:pStyle w:val="NoSpacing"/>
        <w:tabs>
          <w:tab w:val="left" w:pos="540"/>
          <w:tab w:val="left" w:pos="9540"/>
          <w:tab w:val="left" w:pos="963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2589"/>
        <w:gridCol w:w="2964"/>
        <w:gridCol w:w="2125"/>
        <w:gridCol w:w="720"/>
        <w:gridCol w:w="553"/>
      </w:tblGrid>
      <w:tr w:rsidR="00E32057" w:rsidRPr="00A907BF" w:rsidTr="00F361D5">
        <w:trPr>
          <w:trHeight w:val="144"/>
          <w:jc w:val="center"/>
        </w:trPr>
        <w:tc>
          <w:tcPr>
            <w:tcW w:w="93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Place</w:t>
            </w:r>
          </w:p>
        </w:tc>
        <w:tc>
          <w:tcPr>
            <w:tcW w:w="258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Name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Rifle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Caliber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Score</w:t>
            </w:r>
          </w:p>
        </w:tc>
        <w:tc>
          <w:tcPr>
            <w:tcW w:w="553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X</w:t>
            </w:r>
          </w:p>
        </w:tc>
      </w:tr>
      <w:tr w:rsidR="00312E6B" w:rsidRPr="00A907BF" w:rsidTr="00F96A0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967CD3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2E6B" w:rsidRPr="00A907BF" w:rsidTr="000007C0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Trapdoor Springfield M1884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Pat Patton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86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sz w:val="24"/>
                <w:szCs w:val="24"/>
              </w:rPr>
            </w:pPr>
            <w:r w:rsidRPr="00312E6B">
              <w:rPr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Pat Patton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Pat Patton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456C9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bottom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K31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456C9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0" w:type="auto"/>
            <w:vAlign w:val="bottom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 xml:space="preserve">Lee-Enfield No. 4 Mk 2 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EF1601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 xml:space="preserve">Lee-Enfield No. 4 Mk 2 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2E6B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9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 xml:space="preserve">Lee-Enfield No. 4 Mk 2 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53" w:type="dxa"/>
            <w:vAlign w:val="center"/>
          </w:tcPr>
          <w:p w:rsidR="00312E6B" w:rsidRPr="00312E6B" w:rsidRDefault="00312E6B">
            <w:pPr>
              <w:jc w:val="center"/>
              <w:rPr>
                <w:color w:val="000000"/>
                <w:sz w:val="24"/>
                <w:szCs w:val="24"/>
              </w:rPr>
            </w:pPr>
            <w:r w:rsidRPr="00312E6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2057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6829A8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</w:p>
    <w:p w:rsidR="006829A8" w:rsidRDefault="00312E6B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02580" cy="9144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615_161230 (605x102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9A8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86" w:rsidRDefault="00A11586" w:rsidP="001A5AA7">
      <w:pPr>
        <w:spacing w:after="0" w:line="240" w:lineRule="auto"/>
      </w:pPr>
      <w:r>
        <w:separator/>
      </w:r>
    </w:p>
  </w:endnote>
  <w:endnote w:type="continuationSeparator" w:id="0">
    <w:p w:rsidR="00A11586" w:rsidRDefault="00A11586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86" w:rsidRDefault="00A11586" w:rsidP="001A5AA7">
      <w:pPr>
        <w:spacing w:after="0" w:line="240" w:lineRule="auto"/>
      </w:pPr>
      <w:r>
        <w:separator/>
      </w:r>
    </w:p>
  </w:footnote>
  <w:footnote w:type="continuationSeparator" w:id="0">
    <w:p w:rsidR="00A11586" w:rsidRDefault="00A11586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1DC8"/>
    <w:rsid w:val="000E4108"/>
    <w:rsid w:val="000E7666"/>
    <w:rsid w:val="000F45CC"/>
    <w:rsid w:val="000F69E9"/>
    <w:rsid w:val="00105309"/>
    <w:rsid w:val="0011150D"/>
    <w:rsid w:val="0011742A"/>
    <w:rsid w:val="001206E7"/>
    <w:rsid w:val="00126568"/>
    <w:rsid w:val="00131461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5654"/>
    <w:rsid w:val="001A5AA7"/>
    <w:rsid w:val="001B1887"/>
    <w:rsid w:val="001B469E"/>
    <w:rsid w:val="001C25C0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6D1C"/>
    <w:rsid w:val="00461355"/>
    <w:rsid w:val="00462092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8E4"/>
    <w:rsid w:val="008B738B"/>
    <w:rsid w:val="008B7F6E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4260"/>
    <w:rsid w:val="009C48E0"/>
    <w:rsid w:val="009C7FEA"/>
    <w:rsid w:val="009D33CE"/>
    <w:rsid w:val="009D40A0"/>
    <w:rsid w:val="009D566E"/>
    <w:rsid w:val="009E0B85"/>
    <w:rsid w:val="009E1508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907BF"/>
    <w:rsid w:val="00A91B65"/>
    <w:rsid w:val="00A92A2D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5374"/>
    <w:rsid w:val="00B674EF"/>
    <w:rsid w:val="00B73ADB"/>
    <w:rsid w:val="00B7794A"/>
    <w:rsid w:val="00B8313B"/>
    <w:rsid w:val="00B9101C"/>
    <w:rsid w:val="00B9335C"/>
    <w:rsid w:val="00B95A44"/>
    <w:rsid w:val="00BB10EE"/>
    <w:rsid w:val="00BB2E84"/>
    <w:rsid w:val="00BC0023"/>
    <w:rsid w:val="00BC0528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776B"/>
    <w:rsid w:val="00CA7F91"/>
    <w:rsid w:val="00CB077D"/>
    <w:rsid w:val="00CB3434"/>
    <w:rsid w:val="00CC29E0"/>
    <w:rsid w:val="00CC62FC"/>
    <w:rsid w:val="00CD67B4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1594"/>
    <w:rsid w:val="00DC2248"/>
    <w:rsid w:val="00DC2C21"/>
    <w:rsid w:val="00DC4AC8"/>
    <w:rsid w:val="00DC5558"/>
    <w:rsid w:val="00DC6520"/>
    <w:rsid w:val="00DC68BB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6906"/>
    <w:rsid w:val="00E4030B"/>
    <w:rsid w:val="00E477A7"/>
    <w:rsid w:val="00E5084C"/>
    <w:rsid w:val="00E539CB"/>
    <w:rsid w:val="00E572E1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8B48-6CE1-4D68-83C3-4A8B5EA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5</cp:revision>
  <dcterms:created xsi:type="dcterms:W3CDTF">2023-06-17T00:42:00Z</dcterms:created>
  <dcterms:modified xsi:type="dcterms:W3CDTF">2023-06-17T00:59:00Z</dcterms:modified>
</cp:coreProperties>
</file>